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D66D6" w14:textId="554822D9" w:rsidR="00243C64" w:rsidRPr="00FB669E" w:rsidRDefault="00FB669E" w:rsidP="00154068">
      <w:pPr>
        <w:pStyle w:val="Prrafodelista"/>
        <w:tabs>
          <w:tab w:val="left" w:pos="993"/>
          <w:tab w:val="left" w:pos="2100"/>
        </w:tabs>
        <w:jc w:val="center"/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</w:pPr>
      <w:bookmarkStart w:id="0" w:name="_GoBack"/>
      <w:bookmarkEnd w:id="0"/>
      <w:r w:rsidRPr="00FB669E">
        <w:rPr>
          <w:rFonts w:ascii="Times New Roman" w:eastAsia="MS Mincho" w:hAnsi="Times New Roman" w:cs="Times New Roman"/>
          <w:b/>
          <w:i/>
          <w:iCs/>
          <w:color w:val="4472C4" w:themeColor="accent1"/>
          <w:lang w:val="es-GT" w:eastAsia="ja-JP"/>
        </w:rPr>
        <w:t>Niños con Desnutrición Aguda (NDA)</w:t>
      </w:r>
    </w:p>
    <w:p w14:paraId="1F874579" w14:textId="238102D5" w:rsidR="00FB669E" w:rsidRDefault="00FB669E" w:rsidP="00243C64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</w:p>
    <w:p w14:paraId="275670FC" w14:textId="77777777" w:rsidR="00FB669E" w:rsidRDefault="00FB669E" w:rsidP="00243C64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</w:p>
    <w:p w14:paraId="6A700EAA" w14:textId="4B8745A2" w:rsidR="00243C64" w:rsidRPr="003505C7" w:rsidRDefault="00BD2CD7" w:rsidP="00243C64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Tabla No. 1 </w:t>
      </w:r>
      <w:bookmarkStart w:id="1" w:name="_Hlk71023787"/>
      <w:r w:rsidR="00F34A53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N</w:t>
      </w:r>
      <w:r w:rsidR="009B1876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iños con </w:t>
      </w:r>
      <w:r w:rsidR="00F34A53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D</w:t>
      </w:r>
      <w:r w:rsidR="009B1876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 xml:space="preserve">esnutrición </w:t>
      </w:r>
      <w:r w:rsidR="00F34A53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A</w:t>
      </w:r>
      <w:r w:rsidR="009B1876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guda (NDA)</w:t>
      </w:r>
      <w:bookmarkEnd w:id="1"/>
    </w:p>
    <w:tbl>
      <w:tblPr>
        <w:tblW w:w="44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1431"/>
        <w:gridCol w:w="892"/>
        <w:gridCol w:w="823"/>
        <w:gridCol w:w="916"/>
      </w:tblGrid>
      <w:tr w:rsidR="00F34A53" w:rsidRPr="009B42A6" w14:paraId="19437EE7" w14:textId="77777777" w:rsidTr="00353987">
        <w:trPr>
          <w:trHeight w:val="515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EF749C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No.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859713E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COMUNIDAD LINGÜÍSTICA 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A5A38EE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HOMBRES 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246E166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MUJERES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7441BED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</w:tr>
      <w:tr w:rsidR="00F34A53" w:rsidRPr="009B42A6" w14:paraId="5B908F74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15E5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D1F4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LADINO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365C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43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5484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37C6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984</w:t>
            </w:r>
          </w:p>
        </w:tc>
      </w:tr>
      <w:tr w:rsidR="00F34A53" w:rsidRPr="009B42A6" w14:paraId="23CBC9C2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3DE4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2B1F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KAQCHIKEL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0F30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96DB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733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110C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761</w:t>
            </w:r>
          </w:p>
        </w:tc>
      </w:tr>
      <w:tr w:rsidR="00F34A53" w:rsidRPr="009B42A6" w14:paraId="0F9C84C5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ED7E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E8B2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MAM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BA0D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43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3FD7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0103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675</w:t>
            </w:r>
          </w:p>
        </w:tc>
      </w:tr>
      <w:tr w:rsidR="00F34A53" w:rsidRPr="009B42A6" w14:paraId="2549CF20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2148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84FA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K'ICHE'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18AD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9BFA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890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373</w:t>
            </w:r>
          </w:p>
        </w:tc>
      </w:tr>
      <w:tr w:rsidR="00F34A53" w:rsidRPr="009B42A6" w14:paraId="22D86E7E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C296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C4AA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POQOMAM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953C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F2B7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411B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223</w:t>
            </w:r>
          </w:p>
        </w:tc>
      </w:tr>
      <w:tr w:rsidR="00F34A53" w:rsidRPr="009B42A6" w14:paraId="508EC0FB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AEC3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6A9F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ACHI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324D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73F5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82D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160</w:t>
            </w:r>
          </w:p>
        </w:tc>
      </w:tr>
      <w:tr w:rsidR="00F34A53" w:rsidRPr="009B42A6" w14:paraId="3929C70C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4AA8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D0F7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Q'EQCHI'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8DF1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13D8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0F46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91</w:t>
            </w:r>
          </w:p>
        </w:tc>
      </w:tr>
      <w:tr w:rsidR="00F34A53" w:rsidRPr="009B42A6" w14:paraId="1A9C9258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F04D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84C0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POQOMCHI'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9E3A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072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A5E8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62</w:t>
            </w:r>
          </w:p>
        </w:tc>
      </w:tr>
      <w:tr w:rsidR="00F34A53" w:rsidRPr="009B42A6" w14:paraId="34FD78EA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0460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9883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CH'ORTI'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B7ED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CCDF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75AE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52</w:t>
            </w:r>
          </w:p>
        </w:tc>
      </w:tr>
      <w:tr w:rsidR="00F34A53" w:rsidRPr="009B42A6" w14:paraId="0817CE52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87A4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883A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AKATEKA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F76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1E8F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1C42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36</w:t>
            </w:r>
          </w:p>
        </w:tc>
      </w:tr>
      <w:tr w:rsidR="00F34A53" w:rsidRPr="009B42A6" w14:paraId="27924CCD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D810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AC99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Q´ANJOB'AL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566A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072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840A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27</w:t>
            </w:r>
          </w:p>
        </w:tc>
      </w:tr>
      <w:tr w:rsidR="00F34A53" w:rsidRPr="009B42A6" w14:paraId="403127AC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0DCB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FCDD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JAKALTEKA (POPTI)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7523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AB2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2FDE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25</w:t>
            </w:r>
          </w:p>
        </w:tc>
      </w:tr>
      <w:tr w:rsidR="00F34A53" w:rsidRPr="009B42A6" w14:paraId="2D7262FB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CB06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8157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TZ'UTUJIL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D07A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CB7D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34EE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24</w:t>
            </w:r>
          </w:p>
        </w:tc>
      </w:tr>
      <w:tr w:rsidR="00F34A53" w:rsidRPr="009B42A6" w14:paraId="79FD7CCC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0CD4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EC18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CHUJ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2EB5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B55D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81EF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20</w:t>
            </w:r>
          </w:p>
        </w:tc>
      </w:tr>
      <w:tr w:rsidR="00F34A53" w:rsidRPr="009B42A6" w14:paraId="570168D2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892F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9947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CHALCHITEKA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2464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E3E0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D028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16</w:t>
            </w:r>
          </w:p>
        </w:tc>
      </w:tr>
      <w:tr w:rsidR="00F34A53" w:rsidRPr="009B42A6" w14:paraId="112DA48C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1568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1DCE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TEKTITEKA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5EC0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A96C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3428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13</w:t>
            </w:r>
          </w:p>
        </w:tc>
      </w:tr>
      <w:tr w:rsidR="00F34A53" w:rsidRPr="009B42A6" w14:paraId="31A4FA96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4350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0D3D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IXIL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80FB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C9EA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0C35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5</w:t>
            </w:r>
          </w:p>
        </w:tc>
      </w:tr>
      <w:tr w:rsidR="00F34A53" w:rsidRPr="009B42A6" w14:paraId="117B9A21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2236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43AB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XINKA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A6A1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281C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9ECA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3</w:t>
            </w:r>
          </w:p>
        </w:tc>
      </w:tr>
      <w:tr w:rsidR="00F34A53" w:rsidRPr="009B42A6" w14:paraId="71A22FF1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A94C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A31F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AWAKATEKA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C64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B941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F18B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</w:tr>
      <w:tr w:rsidR="00F34A53" w:rsidRPr="009B42A6" w14:paraId="6CCA9B1B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3792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C22A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SIPAKAPENSE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B547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2D7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5C23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</w:tr>
      <w:tr w:rsidR="00F34A53" w:rsidRPr="009B42A6" w14:paraId="1B1CFFD9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4655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F789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 xml:space="preserve">GARÍFUNA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EF46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4C96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EF96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</w:tr>
      <w:tr w:rsidR="00F34A53" w:rsidRPr="009B42A6" w14:paraId="4D125E26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DDB5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333C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ITZA'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4D67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2A1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0F01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</w:tr>
      <w:tr w:rsidR="00F34A53" w:rsidRPr="009B42A6" w14:paraId="60779CEB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A7E7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296C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MOPÁN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12A4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E177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5B6F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</w:tr>
      <w:tr w:rsidR="00F34A53" w:rsidRPr="009B42A6" w14:paraId="6F99A3F3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DD47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DAF1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SAKAPULTEKA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037A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3471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93B7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</w:tr>
      <w:tr w:rsidR="00F34A53" w:rsidRPr="009B42A6" w14:paraId="31535369" w14:textId="77777777" w:rsidTr="00353987">
        <w:trPr>
          <w:trHeight w:val="258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A4A0" w14:textId="77777777" w:rsidR="00F34A53" w:rsidRPr="009B42A6" w:rsidRDefault="00F34A53" w:rsidP="00F34A53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77FF" w14:textId="77777777" w:rsidR="00F34A53" w:rsidRPr="009B42A6" w:rsidRDefault="00F34A53" w:rsidP="00F34A53">
            <w:pPr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USPANTEKA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64CE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ED5B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9094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color w:val="000000"/>
                <w:sz w:val="18"/>
                <w:szCs w:val="18"/>
                <w:lang w:val="es-GT" w:eastAsia="es-GT"/>
              </w:rPr>
              <w:t>0</w:t>
            </w:r>
          </w:p>
        </w:tc>
      </w:tr>
      <w:tr w:rsidR="00F34A53" w:rsidRPr="009B42A6" w14:paraId="4BD540BD" w14:textId="77777777" w:rsidTr="00353987">
        <w:trPr>
          <w:trHeight w:val="258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9694"/>
            <w:noWrap/>
            <w:vAlign w:val="bottom"/>
            <w:hideMark/>
          </w:tcPr>
          <w:p w14:paraId="64B3AE39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  <w:t xml:space="preserve">TOTAL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5C2F9AB2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  <w:t>168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294E7E46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  <w:t>3,384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14:paraId="434F1494" w14:textId="77777777" w:rsidR="00F34A53" w:rsidRPr="009B42A6" w:rsidRDefault="00F34A53" w:rsidP="00F34A53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</w:pPr>
            <w:r w:rsidRPr="009B42A6">
              <w:rPr>
                <w:rFonts w:eastAsia="Times New Roman" w:cs="Times New Roman"/>
                <w:b/>
                <w:bCs/>
                <w:sz w:val="18"/>
                <w:szCs w:val="18"/>
                <w:lang w:val="es-GT" w:eastAsia="es-GT"/>
              </w:rPr>
              <w:t>3,552</w:t>
            </w:r>
          </w:p>
        </w:tc>
      </w:tr>
    </w:tbl>
    <w:p w14:paraId="4F217DBB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1 Fuente </w:t>
      </w:r>
      <w:r w:rsidR="002417BC">
        <w:rPr>
          <w:rFonts w:eastAsia="MS Mincho" w:cstheme="minorHAnsi"/>
          <w:sz w:val="16"/>
          <w:szCs w:val="16"/>
          <w:lang w:val="es-GT" w:eastAsia="ja-JP"/>
        </w:rPr>
        <w:t>VISAN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/MAGA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Gub. 320-2011 </w:t>
      </w:r>
    </w:p>
    <w:p w14:paraId="52E15E6D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2AF0603A" w14:textId="77777777" w:rsidR="00243C64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0AF90D3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A53A355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5AD9B97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036D409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271317D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B84688C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1AB780E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A29AFF0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C4F77F6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FB9CFD0" w14:textId="77777777" w:rsidR="00154068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6664849" w14:textId="77777777" w:rsidR="00154068" w:rsidRPr="00CF33C0" w:rsidRDefault="00154068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2A868BC" w14:textId="77777777" w:rsidR="00BD2CD7" w:rsidRPr="003505C7" w:rsidRDefault="00243C64" w:rsidP="00BD2CD7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3505C7">
        <w:rPr>
          <w:rFonts w:ascii="Cambria" w:eastAsia="MS Mincho" w:hAnsi="Cambria" w:cs="Calibri"/>
          <w:b/>
          <w:sz w:val="22"/>
          <w:szCs w:val="22"/>
          <w:lang w:val="es-GT" w:eastAsia="ja-JP"/>
        </w:rPr>
        <w:lastRenderedPageBreak/>
        <w:t>GRAFICA No. 1</w:t>
      </w:r>
      <w:r w:rsidR="009B1876" w:rsidRPr="003505C7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 Niños con Desnutrición Aguda</w:t>
      </w:r>
      <w:r w:rsidRPr="003505C7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 </w:t>
      </w:r>
      <w:r w:rsidR="009B1876" w:rsidRPr="003505C7">
        <w:rPr>
          <w:rFonts w:ascii="Cambria" w:eastAsia="MS Mincho" w:hAnsi="Cambria" w:cs="Calibri"/>
          <w:b/>
          <w:sz w:val="22"/>
          <w:szCs w:val="22"/>
          <w:lang w:val="es-GT" w:eastAsia="ja-JP"/>
        </w:rPr>
        <w:t>(</w:t>
      </w:r>
      <w:r w:rsidR="002417BC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NDA</w:t>
      </w:r>
      <w:r w:rsidR="009B1876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)</w:t>
      </w:r>
    </w:p>
    <w:p w14:paraId="71C6E210" w14:textId="77777777" w:rsidR="00243C64" w:rsidRPr="00CF33C0" w:rsidRDefault="002417BC" w:rsidP="00813D5A">
      <w:pPr>
        <w:rPr>
          <w:rFonts w:eastAsia="MS Mincho" w:cstheme="minorHAnsi"/>
          <w:sz w:val="16"/>
          <w:szCs w:val="16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2C57ED62" wp14:editId="443A98ED">
            <wp:extent cx="5747657" cy="1911927"/>
            <wp:effectExtent l="0" t="0" r="24765" b="1270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5DB83FC" w14:textId="77777777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1 Fuente </w:t>
      </w:r>
      <w:r>
        <w:rPr>
          <w:rFonts w:eastAsia="MS Mincho" w:cstheme="minorHAnsi"/>
          <w:sz w:val="16"/>
          <w:szCs w:val="16"/>
          <w:lang w:val="es-GT" w:eastAsia="ja-JP"/>
        </w:rPr>
        <w:t>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Gub. 320-2011 </w:t>
      </w:r>
    </w:p>
    <w:p w14:paraId="01634446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elaborada UDRI 2020</w:t>
      </w:r>
    </w:p>
    <w:p w14:paraId="583EF04B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0195564D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91C79E0" w14:textId="77777777" w:rsidR="00243C64" w:rsidRPr="003505C7" w:rsidRDefault="00243C64" w:rsidP="00243C64">
      <w:pPr>
        <w:jc w:val="both"/>
        <w:rPr>
          <w:rFonts w:eastAsia="MS Mincho" w:cstheme="minorHAnsi"/>
          <w:lang w:val="es-GT" w:eastAsia="ja-JP"/>
        </w:rPr>
      </w:pPr>
      <w:r w:rsidRPr="003505C7">
        <w:rPr>
          <w:rFonts w:eastAsia="MS Mincho" w:cstheme="minorHAnsi"/>
          <w:lang w:val="es-GT" w:eastAsia="ja-JP"/>
        </w:rPr>
        <w:t xml:space="preserve">La gráfica No. 1 refleja la distribución del </w:t>
      </w:r>
      <w:r w:rsidR="00EA3FC8" w:rsidRPr="003505C7">
        <w:rPr>
          <w:rFonts w:eastAsia="Times New Roman" w:cstheme="minorHAnsi"/>
          <w:color w:val="000000"/>
          <w:lang w:val="es-GT" w:eastAsia="es-GT"/>
        </w:rPr>
        <w:t>NDA</w:t>
      </w:r>
      <w:r w:rsidR="002E5B6F" w:rsidRPr="003505C7">
        <w:rPr>
          <w:rFonts w:eastAsia="Times New Roman" w:cstheme="minorHAnsi"/>
          <w:color w:val="000000"/>
          <w:lang w:val="es-GT" w:eastAsia="es-GT"/>
        </w:rPr>
        <w:t>,</w:t>
      </w:r>
      <w:r w:rsidRPr="003505C7">
        <w:rPr>
          <w:rFonts w:eastAsia="MS Mincho" w:cstheme="minorHAnsi"/>
          <w:lang w:val="es-GT" w:eastAsia="ja-JP"/>
        </w:rPr>
        <w:t xml:space="preserve"> en los Pueblos Xinka, Ladino, Garífuna y el Pueblo Maya con sus veintidós comunidades lingüísticas, que s</w:t>
      </w:r>
      <w:r w:rsidR="00F55FCD" w:rsidRPr="003505C7">
        <w:rPr>
          <w:rFonts w:eastAsia="MS Mincho" w:cstheme="minorHAnsi"/>
          <w:lang w:val="es-GT" w:eastAsia="ja-JP"/>
        </w:rPr>
        <w:t xml:space="preserve">e detallan a continuación: </w:t>
      </w:r>
      <w:r w:rsidR="00F34A53" w:rsidRPr="003505C7">
        <w:rPr>
          <w:rFonts w:eastAsia="MS Mincho" w:cstheme="minorHAnsi"/>
          <w:lang w:val="es-GT" w:eastAsia="ja-JP"/>
        </w:rPr>
        <w:t>Ladino, Kaqchikel</w:t>
      </w:r>
      <w:r w:rsidR="007C4661" w:rsidRPr="003505C7">
        <w:rPr>
          <w:rFonts w:eastAsia="MS Mincho" w:cstheme="minorHAnsi"/>
          <w:lang w:val="es-GT" w:eastAsia="ja-JP"/>
        </w:rPr>
        <w:t xml:space="preserve">, </w:t>
      </w:r>
      <w:r w:rsidR="00F34A53" w:rsidRPr="003505C7">
        <w:rPr>
          <w:rFonts w:eastAsia="MS Mincho" w:cstheme="minorHAnsi"/>
          <w:lang w:val="es-GT" w:eastAsia="ja-JP"/>
        </w:rPr>
        <w:t xml:space="preserve">Mam, </w:t>
      </w:r>
      <w:r w:rsidR="007C4661" w:rsidRPr="003505C7">
        <w:rPr>
          <w:rFonts w:eastAsia="MS Mincho" w:cstheme="minorHAnsi"/>
          <w:lang w:val="es-GT" w:eastAsia="ja-JP"/>
        </w:rPr>
        <w:t xml:space="preserve">K´iche´, Poqomam, Achi, Q´eqchi´, Poqomchi´, Ch´orti´, </w:t>
      </w:r>
      <w:r w:rsidRPr="003505C7">
        <w:rPr>
          <w:rFonts w:eastAsia="MS Mincho" w:cstheme="minorHAnsi"/>
          <w:lang w:val="es-GT" w:eastAsia="ja-JP"/>
        </w:rPr>
        <w:t xml:space="preserve">Akateka, </w:t>
      </w:r>
      <w:r w:rsidR="007C4661" w:rsidRPr="003505C7">
        <w:rPr>
          <w:rFonts w:eastAsia="MS Mincho" w:cstheme="minorHAnsi"/>
          <w:lang w:val="es-GT" w:eastAsia="ja-JP"/>
        </w:rPr>
        <w:t xml:space="preserve">Q´anjob´al, Jakalteka/Popti,  T´zutujil, Chuj, Chalchiteka, Tektiteko, Ixil, Xinka, </w:t>
      </w:r>
      <w:r w:rsidRPr="003505C7">
        <w:rPr>
          <w:rFonts w:eastAsia="MS Mincho" w:cstheme="minorHAnsi"/>
          <w:lang w:val="es-GT" w:eastAsia="ja-JP"/>
        </w:rPr>
        <w:t xml:space="preserve">Awakateka,  </w:t>
      </w:r>
      <w:r w:rsidR="007C4661" w:rsidRPr="003505C7">
        <w:rPr>
          <w:rFonts w:eastAsia="MS Mincho" w:cstheme="minorHAnsi"/>
          <w:lang w:val="es-GT" w:eastAsia="ja-JP"/>
        </w:rPr>
        <w:t xml:space="preserve">Sipakapense, Garífuna, </w:t>
      </w:r>
      <w:r w:rsidRPr="003505C7">
        <w:rPr>
          <w:rFonts w:eastAsia="MS Mincho" w:cstheme="minorHAnsi"/>
          <w:lang w:val="es-GT" w:eastAsia="ja-JP"/>
        </w:rPr>
        <w:t>Itza</w:t>
      </w:r>
      <w:r w:rsidR="007C4661" w:rsidRPr="003505C7">
        <w:rPr>
          <w:rFonts w:eastAsia="MS Mincho" w:cstheme="minorHAnsi"/>
          <w:lang w:val="es-GT" w:eastAsia="ja-JP"/>
        </w:rPr>
        <w:t>,</w:t>
      </w:r>
      <w:r w:rsidRPr="003505C7">
        <w:rPr>
          <w:rFonts w:eastAsia="MS Mincho" w:cstheme="minorHAnsi"/>
          <w:lang w:val="es-GT" w:eastAsia="ja-JP"/>
        </w:rPr>
        <w:t xml:space="preserve"> Mopan, </w:t>
      </w:r>
      <w:r w:rsidR="007C4661" w:rsidRPr="003505C7">
        <w:rPr>
          <w:rFonts w:eastAsia="MS Mincho" w:cstheme="minorHAnsi"/>
          <w:lang w:val="es-GT" w:eastAsia="ja-JP"/>
        </w:rPr>
        <w:t xml:space="preserve">Sakapulteko, </w:t>
      </w:r>
      <w:r w:rsidR="00813D5A" w:rsidRPr="003505C7">
        <w:rPr>
          <w:rFonts w:eastAsia="MS Mincho" w:cstheme="minorHAnsi"/>
          <w:lang w:val="es-GT" w:eastAsia="ja-JP"/>
        </w:rPr>
        <w:t>Uspanteko</w:t>
      </w:r>
      <w:r w:rsidRPr="003505C7">
        <w:rPr>
          <w:rFonts w:eastAsia="MS Mincho" w:cstheme="minorHAnsi"/>
          <w:lang w:val="es-GT" w:eastAsia="ja-JP"/>
        </w:rPr>
        <w:t>.</w:t>
      </w:r>
      <w:r w:rsidR="007C4661" w:rsidRPr="003505C7">
        <w:rPr>
          <w:rFonts w:eastAsia="MS Mincho" w:cstheme="minorHAnsi"/>
          <w:lang w:val="es-GT" w:eastAsia="ja-JP"/>
        </w:rPr>
        <w:t xml:space="preserve"> </w:t>
      </w:r>
    </w:p>
    <w:p w14:paraId="347C5F2B" w14:textId="77777777" w:rsidR="00243C64" w:rsidRPr="003505C7" w:rsidRDefault="00243C64" w:rsidP="00243C64">
      <w:pPr>
        <w:jc w:val="both"/>
        <w:rPr>
          <w:rFonts w:ascii="Arial" w:eastAsia="MS Mincho" w:hAnsi="Arial" w:cs="Arial"/>
          <w:sz w:val="28"/>
          <w:szCs w:val="28"/>
          <w:lang w:val="es-GT" w:eastAsia="ja-JP"/>
        </w:rPr>
      </w:pPr>
    </w:p>
    <w:p w14:paraId="225BBCEE" w14:textId="77777777" w:rsidR="00243C64" w:rsidRPr="003505C7" w:rsidRDefault="00243C64" w:rsidP="00243C64">
      <w:pPr>
        <w:jc w:val="both"/>
        <w:rPr>
          <w:rFonts w:eastAsia="MS Mincho" w:cstheme="minorHAnsi"/>
          <w:lang w:val="es-GT" w:eastAsia="ja-JP"/>
        </w:rPr>
      </w:pPr>
      <w:r w:rsidRPr="003505C7">
        <w:rPr>
          <w:rFonts w:eastAsia="MS Mincho" w:cstheme="minorHAnsi"/>
          <w:lang w:val="es-GT" w:eastAsia="ja-JP"/>
        </w:rPr>
        <w:t>A continuación describiremos a los cinco Pueblos o Comunidades Lingüísticas más beneficiadas:</w:t>
      </w:r>
    </w:p>
    <w:p w14:paraId="346BB4CD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303FB1C" w14:textId="77777777" w:rsidR="004F4246" w:rsidRPr="003505C7" w:rsidRDefault="00243C64" w:rsidP="004F4246">
      <w:pPr>
        <w:jc w:val="center"/>
        <w:rPr>
          <w:rFonts w:ascii="Cambria" w:eastAsia="Times New Roman" w:hAnsi="Cambria" w:cstheme="minorHAnsi"/>
          <w:b/>
          <w:color w:val="000000"/>
          <w:sz w:val="22"/>
          <w:szCs w:val="22"/>
          <w:lang w:val="es-GT" w:eastAsia="es-GT"/>
        </w:rPr>
      </w:pPr>
      <w:r w:rsidRPr="003505C7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 xml:space="preserve">TABLA No. 2 </w:t>
      </w:r>
      <w:r w:rsidR="009B1876" w:rsidRPr="003505C7">
        <w:rPr>
          <w:rFonts w:ascii="Cambria" w:eastAsia="MS Mincho" w:hAnsi="Cambria" w:cstheme="minorHAnsi"/>
          <w:b/>
          <w:sz w:val="22"/>
          <w:szCs w:val="22"/>
          <w:lang w:val="es-GT" w:eastAsia="ja-JP"/>
        </w:rPr>
        <w:t>Niños con Desnutrición Aguda (</w:t>
      </w:r>
      <w:r w:rsidR="002417BC" w:rsidRPr="003505C7">
        <w:rPr>
          <w:rFonts w:ascii="Cambria" w:eastAsia="Times New Roman" w:hAnsi="Cambria" w:cstheme="minorHAnsi"/>
          <w:b/>
          <w:color w:val="000000"/>
          <w:sz w:val="22"/>
          <w:szCs w:val="22"/>
          <w:lang w:val="es-GT" w:eastAsia="es-GT"/>
        </w:rPr>
        <w:t>NDA</w:t>
      </w:r>
      <w:r w:rsidR="009B1876" w:rsidRPr="003505C7">
        <w:rPr>
          <w:rFonts w:ascii="Cambria" w:eastAsia="Times New Roman" w:hAnsi="Cambria" w:cstheme="minorHAnsi"/>
          <w:b/>
          <w:color w:val="000000"/>
          <w:sz w:val="22"/>
          <w:szCs w:val="22"/>
          <w:lang w:val="es-GT" w:eastAsia="es-GT"/>
        </w:rPr>
        <w:t>)</w:t>
      </w:r>
    </w:p>
    <w:p w14:paraId="6AC52475" w14:textId="77777777" w:rsidR="00113B7B" w:rsidRDefault="00113B7B" w:rsidP="004F4246">
      <w:pPr>
        <w:jc w:val="center"/>
        <w:rPr>
          <w:rFonts w:eastAsia="Times New Roman" w:cstheme="minorHAnsi"/>
          <w:b/>
          <w:color w:val="000000"/>
          <w:sz w:val="22"/>
          <w:szCs w:val="22"/>
          <w:lang w:val="es-GT" w:eastAsia="es-GT"/>
        </w:rPr>
      </w:pPr>
    </w:p>
    <w:tbl>
      <w:tblPr>
        <w:tblW w:w="46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9"/>
        <w:gridCol w:w="1930"/>
        <w:gridCol w:w="1560"/>
      </w:tblGrid>
      <w:tr w:rsidR="00CD3A98" w:rsidRPr="00CD3A98" w14:paraId="7320E0F8" w14:textId="77777777" w:rsidTr="003505C7">
        <w:trPr>
          <w:trHeight w:val="662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8147AB1" w14:textId="77777777" w:rsidR="00CD3A98" w:rsidRPr="00CD3A98" w:rsidRDefault="00CD3A98" w:rsidP="00CD3A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No.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4B39837" w14:textId="77777777" w:rsidR="00CD3A98" w:rsidRPr="00CD3A98" w:rsidRDefault="00CD3A98" w:rsidP="00CD3A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 xml:space="preserve">COMUNIDAD LINGÜÍSTICA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8E34D7F" w14:textId="77777777" w:rsidR="00CD3A98" w:rsidRPr="00CD3A98" w:rsidRDefault="00CD3A98" w:rsidP="00CD3A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CANTIDAD</w:t>
            </w:r>
          </w:p>
        </w:tc>
      </w:tr>
      <w:tr w:rsidR="00CD3A98" w:rsidRPr="00CD3A98" w14:paraId="1151CC1B" w14:textId="77777777" w:rsidTr="003505C7">
        <w:trPr>
          <w:trHeight w:val="331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7025" w14:textId="77777777" w:rsidR="00CD3A98" w:rsidRPr="00CD3A98" w:rsidRDefault="00CD3A98" w:rsidP="00CD3A9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2491" w14:textId="77777777" w:rsidR="00CD3A98" w:rsidRPr="00CD3A98" w:rsidRDefault="00CD3A98" w:rsidP="00CD3A98">
            <w:pPr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LADINO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A271" w14:textId="77777777" w:rsidR="00CD3A98" w:rsidRPr="00CD3A98" w:rsidRDefault="00CD3A98" w:rsidP="00CD3A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984</w:t>
            </w:r>
          </w:p>
        </w:tc>
      </w:tr>
      <w:tr w:rsidR="00CD3A98" w:rsidRPr="00CD3A98" w14:paraId="0BDF0BFE" w14:textId="77777777" w:rsidTr="003505C7">
        <w:trPr>
          <w:trHeight w:val="331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CF73" w14:textId="77777777" w:rsidR="00CD3A98" w:rsidRPr="00CD3A98" w:rsidRDefault="00CD3A98" w:rsidP="00CD3A9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25A1" w14:textId="77777777" w:rsidR="00CD3A98" w:rsidRPr="00CD3A98" w:rsidRDefault="00CD3A98" w:rsidP="00CD3A98">
            <w:pPr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KAQCHIKEL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4377" w14:textId="77777777" w:rsidR="00CD3A98" w:rsidRPr="00CD3A98" w:rsidRDefault="00CD3A98" w:rsidP="00CD3A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761</w:t>
            </w:r>
          </w:p>
        </w:tc>
      </w:tr>
      <w:tr w:rsidR="00CD3A98" w:rsidRPr="00CD3A98" w14:paraId="13BBF78C" w14:textId="77777777" w:rsidTr="003505C7">
        <w:trPr>
          <w:trHeight w:val="331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C7FF" w14:textId="77777777" w:rsidR="00CD3A98" w:rsidRPr="00CD3A98" w:rsidRDefault="00CD3A98" w:rsidP="00CD3A9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485F" w14:textId="77777777" w:rsidR="00CD3A98" w:rsidRPr="00CD3A98" w:rsidRDefault="00CD3A98" w:rsidP="00CD3A98">
            <w:pPr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 xml:space="preserve">MAM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29F9" w14:textId="77777777" w:rsidR="00CD3A98" w:rsidRPr="00CD3A98" w:rsidRDefault="00CD3A98" w:rsidP="00CD3A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675</w:t>
            </w:r>
          </w:p>
        </w:tc>
      </w:tr>
      <w:tr w:rsidR="00CD3A98" w:rsidRPr="00CD3A98" w14:paraId="6159AFC5" w14:textId="77777777" w:rsidTr="003505C7">
        <w:trPr>
          <w:trHeight w:val="331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7147" w14:textId="77777777" w:rsidR="00CD3A98" w:rsidRPr="00CD3A98" w:rsidRDefault="00CD3A98" w:rsidP="00CD3A9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8C36" w14:textId="77777777" w:rsidR="00CD3A98" w:rsidRPr="00CD3A98" w:rsidRDefault="00CD3A98" w:rsidP="00CD3A98">
            <w:pPr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K'ICHE'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97CF" w14:textId="77777777" w:rsidR="00CD3A98" w:rsidRPr="00CD3A98" w:rsidRDefault="00CD3A98" w:rsidP="00CD3A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373</w:t>
            </w:r>
          </w:p>
        </w:tc>
      </w:tr>
      <w:tr w:rsidR="00CD3A98" w:rsidRPr="00CD3A98" w14:paraId="5E9BF562" w14:textId="77777777" w:rsidTr="003505C7">
        <w:trPr>
          <w:trHeight w:val="331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1506" w14:textId="77777777" w:rsidR="00CD3A98" w:rsidRPr="00CD3A98" w:rsidRDefault="00CD3A98" w:rsidP="00CD3A9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55B3" w14:textId="77777777" w:rsidR="00CD3A98" w:rsidRPr="00CD3A98" w:rsidRDefault="00CD3A98" w:rsidP="00CD3A98">
            <w:pPr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POQOMAM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C204" w14:textId="77777777" w:rsidR="00CD3A98" w:rsidRPr="00CD3A98" w:rsidRDefault="00CD3A98" w:rsidP="00CD3A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</w:pPr>
            <w:r w:rsidRPr="00CD3A98">
              <w:rPr>
                <w:rFonts w:ascii="Times New Roman" w:eastAsia="Times New Roman" w:hAnsi="Times New Roman" w:cs="Times New Roman"/>
                <w:color w:val="000000"/>
                <w:lang w:val="es-GT" w:eastAsia="es-GT"/>
              </w:rPr>
              <w:t>223</w:t>
            </w:r>
          </w:p>
        </w:tc>
      </w:tr>
    </w:tbl>
    <w:p w14:paraId="202199F4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2 Fuente </w:t>
      </w:r>
      <w:r w:rsidR="002417BC">
        <w:rPr>
          <w:rFonts w:eastAsia="MS Mincho" w:cstheme="minorHAnsi"/>
          <w:sz w:val="16"/>
          <w:szCs w:val="16"/>
          <w:lang w:val="es-GT" w:eastAsia="ja-JP"/>
        </w:rPr>
        <w:t>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Gub. 320-2011 </w:t>
      </w:r>
    </w:p>
    <w:p w14:paraId="441BE7F4" w14:textId="77777777" w:rsidR="00243C64" w:rsidRPr="00CF33C0" w:rsidRDefault="003C1F12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7D9E4BF6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3CD511C8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5517F168" w14:textId="77777777" w:rsidR="00F34A53" w:rsidRPr="003505C7" w:rsidRDefault="00243C64" w:rsidP="00233258">
      <w:pPr>
        <w:jc w:val="both"/>
        <w:rPr>
          <w:rFonts w:eastAsia="MS Mincho" w:cstheme="minorHAnsi"/>
          <w:lang w:val="es-GT" w:eastAsia="ja-JP"/>
        </w:rPr>
      </w:pPr>
      <w:r w:rsidRPr="003505C7">
        <w:rPr>
          <w:rFonts w:eastAsia="MS Mincho" w:cstheme="minorHAnsi"/>
          <w:b/>
          <w:lang w:val="es-GT" w:eastAsia="ja-JP"/>
        </w:rPr>
        <w:t xml:space="preserve">La Tabla No. 2, </w:t>
      </w:r>
      <w:r w:rsidRPr="003505C7">
        <w:rPr>
          <w:rFonts w:eastAsia="MS Mincho" w:cstheme="minorHAnsi"/>
          <w:lang w:val="es-GT" w:eastAsia="ja-JP"/>
        </w:rPr>
        <w:t xml:space="preserve">Muestra la cantidad de beneficiarios tomando en cuenta las 25 comunidades lingüísticas que compartimos en la Nación Guatemalteca.  Se puede observar que las primeras cinco comunidades beneficiadas son: </w:t>
      </w:r>
      <w:r w:rsidR="00233258" w:rsidRPr="003505C7">
        <w:rPr>
          <w:rFonts w:eastAsia="MS Mincho" w:cstheme="minorHAnsi"/>
          <w:lang w:val="es-GT" w:eastAsia="ja-JP"/>
        </w:rPr>
        <w:t>Ladino</w:t>
      </w:r>
      <w:r w:rsidR="00CD3A98" w:rsidRPr="003505C7">
        <w:rPr>
          <w:rFonts w:eastAsia="MS Mincho" w:cstheme="minorHAnsi"/>
          <w:lang w:val="es-GT" w:eastAsia="ja-JP"/>
        </w:rPr>
        <w:t>, Kaqchikel, Mam, K´iche´, y Poqomam</w:t>
      </w:r>
      <w:r w:rsidR="00F34A53" w:rsidRPr="003505C7">
        <w:rPr>
          <w:rFonts w:eastAsia="MS Mincho" w:cstheme="minorHAnsi"/>
          <w:lang w:val="es-GT" w:eastAsia="ja-JP"/>
        </w:rPr>
        <w:t>.</w:t>
      </w:r>
    </w:p>
    <w:p w14:paraId="12951520" w14:textId="77777777" w:rsidR="00CD7726" w:rsidRPr="003505C7" w:rsidRDefault="00F34A53" w:rsidP="00233258">
      <w:pPr>
        <w:jc w:val="both"/>
        <w:rPr>
          <w:rFonts w:eastAsia="MS Mincho" w:cstheme="minorHAnsi"/>
          <w:lang w:val="es-GT" w:eastAsia="ja-JP"/>
        </w:rPr>
      </w:pPr>
      <w:r w:rsidRPr="003505C7">
        <w:rPr>
          <w:rFonts w:eastAsia="MS Mincho" w:cstheme="minorHAnsi"/>
          <w:lang w:val="es-GT" w:eastAsia="ja-JP"/>
        </w:rPr>
        <w:t xml:space="preserve"> </w:t>
      </w:r>
    </w:p>
    <w:p w14:paraId="7C582724" w14:textId="77777777" w:rsidR="00243C64" w:rsidRPr="003505C7" w:rsidRDefault="00B3694B" w:rsidP="00243C64">
      <w:pPr>
        <w:jc w:val="both"/>
        <w:rPr>
          <w:rFonts w:eastAsia="MS Mincho" w:cstheme="minorHAnsi"/>
          <w:lang w:val="es-GT" w:eastAsia="ja-JP"/>
        </w:rPr>
      </w:pPr>
      <w:r w:rsidRPr="003505C7">
        <w:rPr>
          <w:rFonts w:eastAsia="MS Mincho" w:cstheme="minorHAnsi"/>
          <w:lang w:val="es-GT" w:eastAsia="ja-JP"/>
        </w:rPr>
        <w:t>La Tabla 2, r</w:t>
      </w:r>
      <w:r w:rsidR="00243C64" w:rsidRPr="003505C7">
        <w:rPr>
          <w:rFonts w:eastAsia="MS Mincho" w:cstheme="minorHAnsi"/>
          <w:lang w:val="es-GT" w:eastAsia="ja-JP"/>
        </w:rPr>
        <w:t xml:space="preserve">efleja </w:t>
      </w:r>
      <w:r w:rsidRPr="003505C7">
        <w:rPr>
          <w:rFonts w:eastAsia="MS Mincho" w:cstheme="minorHAnsi"/>
          <w:lang w:val="es-GT" w:eastAsia="ja-JP"/>
        </w:rPr>
        <w:t>a</w:t>
      </w:r>
      <w:r w:rsidR="00243C64" w:rsidRPr="003505C7">
        <w:rPr>
          <w:rFonts w:eastAsia="MS Mincho" w:cstheme="minorHAnsi"/>
          <w:lang w:val="es-GT" w:eastAsia="ja-JP"/>
        </w:rPr>
        <w:t xml:space="preserve">l Pueblo </w:t>
      </w:r>
      <w:r w:rsidR="00CD7726" w:rsidRPr="003505C7">
        <w:rPr>
          <w:rFonts w:eastAsia="MS Mincho" w:cstheme="minorHAnsi"/>
          <w:lang w:val="es-GT" w:eastAsia="ja-JP"/>
        </w:rPr>
        <w:t>Ladino</w:t>
      </w:r>
      <w:r w:rsidR="00243C64" w:rsidRPr="003505C7">
        <w:rPr>
          <w:rFonts w:eastAsia="MS Mincho" w:cstheme="minorHAnsi"/>
          <w:lang w:val="es-GT" w:eastAsia="ja-JP"/>
        </w:rPr>
        <w:t xml:space="preserve"> con un total de </w:t>
      </w:r>
      <w:r w:rsidR="00F34A53" w:rsidRPr="003505C7">
        <w:rPr>
          <w:rFonts w:eastAsia="MS Mincho" w:cstheme="minorHAnsi"/>
          <w:lang w:val="es-GT" w:eastAsia="ja-JP"/>
        </w:rPr>
        <w:t>984</w:t>
      </w:r>
      <w:r w:rsidR="00243C64" w:rsidRPr="003505C7">
        <w:rPr>
          <w:rFonts w:eastAsia="MS Mincho" w:cstheme="minorHAnsi"/>
          <w:lang w:val="es-GT" w:eastAsia="ja-JP"/>
        </w:rPr>
        <w:t xml:space="preserve"> beneficiados, en segundo lugar </w:t>
      </w:r>
      <w:r w:rsidR="007C4661" w:rsidRPr="003505C7">
        <w:rPr>
          <w:rFonts w:eastAsia="MS Mincho" w:cstheme="minorHAnsi"/>
          <w:lang w:val="es-GT" w:eastAsia="ja-JP"/>
        </w:rPr>
        <w:t xml:space="preserve">la Comunidad Lingüística </w:t>
      </w:r>
      <w:r w:rsidR="00CD3A98" w:rsidRPr="003505C7">
        <w:rPr>
          <w:rFonts w:eastAsia="MS Mincho" w:cstheme="minorHAnsi"/>
          <w:lang w:val="es-GT" w:eastAsia="ja-JP"/>
        </w:rPr>
        <w:t xml:space="preserve">Kaqchikel con 761 total de beneficiados, en tercer lugar  la Comunidad Lingüística Mam con un total de 675 beneficiados, en  </w:t>
      </w:r>
      <w:r w:rsidR="007C4661" w:rsidRPr="003505C7">
        <w:rPr>
          <w:rFonts w:eastAsia="MS Mincho" w:cstheme="minorHAnsi"/>
          <w:lang w:val="es-GT" w:eastAsia="ja-JP"/>
        </w:rPr>
        <w:t xml:space="preserve">cuarto lugar </w:t>
      </w:r>
      <w:r w:rsidR="00243C64" w:rsidRPr="003505C7">
        <w:rPr>
          <w:rFonts w:eastAsia="MS Mincho" w:cstheme="minorHAnsi"/>
          <w:lang w:val="es-GT" w:eastAsia="ja-JP"/>
        </w:rPr>
        <w:t xml:space="preserve"> la Comunidad Lingüística</w:t>
      </w:r>
      <w:r w:rsidR="007C4661" w:rsidRPr="003505C7">
        <w:rPr>
          <w:rFonts w:eastAsia="MS Mincho" w:cstheme="minorHAnsi"/>
          <w:lang w:val="es-GT" w:eastAsia="ja-JP"/>
        </w:rPr>
        <w:t xml:space="preserve"> </w:t>
      </w:r>
      <w:r w:rsidR="00CD3A98" w:rsidRPr="003505C7">
        <w:rPr>
          <w:rFonts w:eastAsia="MS Mincho" w:cstheme="minorHAnsi"/>
          <w:lang w:val="es-GT" w:eastAsia="ja-JP"/>
        </w:rPr>
        <w:t xml:space="preserve">K´iche´ con 373 total de beneficiados </w:t>
      </w:r>
      <w:r w:rsidR="00243C64" w:rsidRPr="003505C7">
        <w:rPr>
          <w:rFonts w:eastAsia="MS Mincho" w:cstheme="minorHAnsi"/>
          <w:lang w:val="es-GT" w:eastAsia="ja-JP"/>
        </w:rPr>
        <w:t xml:space="preserve">y, en quinto lugar </w:t>
      </w:r>
      <w:r w:rsidR="00CD3A98" w:rsidRPr="003505C7">
        <w:rPr>
          <w:rFonts w:eastAsia="MS Mincho" w:cstheme="minorHAnsi"/>
          <w:lang w:val="es-GT" w:eastAsia="ja-JP"/>
        </w:rPr>
        <w:t>la Comunidad Lingüística Poqomam con 223 total de beneficiados.</w:t>
      </w:r>
    </w:p>
    <w:p w14:paraId="5CE28AF6" w14:textId="77777777" w:rsidR="00243C64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9F9D502" w14:textId="77777777" w:rsidR="009B42A6" w:rsidRDefault="009B42A6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47C8839" w14:textId="77777777" w:rsidR="004E0EBC" w:rsidRPr="00243C64" w:rsidRDefault="004E0EBC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5882A98E" w14:textId="77777777" w:rsidR="004F4246" w:rsidRPr="003505C7" w:rsidRDefault="00243C64" w:rsidP="004F4246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3505C7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GRAFICA No. </w:t>
      </w:r>
      <w:r w:rsidR="009B1876" w:rsidRPr="003505C7">
        <w:rPr>
          <w:rFonts w:ascii="Cambria" w:eastAsia="MS Mincho" w:hAnsi="Cambria" w:cs="Calibri"/>
          <w:b/>
          <w:sz w:val="22"/>
          <w:szCs w:val="22"/>
          <w:lang w:val="es-GT" w:eastAsia="ja-JP"/>
        </w:rPr>
        <w:t>3 Niños con Desnutrición Aguda (</w:t>
      </w:r>
      <w:r w:rsidR="00F34A53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NDA</w:t>
      </w:r>
      <w:r w:rsidR="009B1876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)</w:t>
      </w:r>
    </w:p>
    <w:p w14:paraId="27AF84EE" w14:textId="77777777" w:rsidR="009B1876" w:rsidRPr="009B42A6" w:rsidRDefault="009B1876" w:rsidP="004F4246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138B57DC" w14:textId="77777777" w:rsidR="009B1876" w:rsidRDefault="009B1876" w:rsidP="004F4246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es-GT" w:eastAsia="es-GT"/>
        </w:rPr>
      </w:pPr>
    </w:p>
    <w:p w14:paraId="63B64BA4" w14:textId="77777777" w:rsidR="004E0EBC" w:rsidRDefault="00113B7B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17098B26" wp14:editId="642BFC7B">
            <wp:extent cx="3562597" cy="2291937"/>
            <wp:effectExtent l="0" t="0" r="19050" b="13335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380BFAC" w14:textId="77777777" w:rsidR="004E0EBC" w:rsidRDefault="004E0EBC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</w:p>
    <w:p w14:paraId="5D46154E" w14:textId="77777777" w:rsidR="00243C64" w:rsidRPr="00CF33C0" w:rsidRDefault="00243C6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Gráfica No. 4 Fuente </w:t>
      </w:r>
      <w:r w:rsidR="009B42A6">
        <w:rPr>
          <w:rFonts w:ascii="Calibri" w:eastAsia="MS Mincho" w:hAnsi="Calibri" w:cs="Calibri"/>
          <w:sz w:val="16"/>
          <w:szCs w:val="16"/>
          <w:lang w:val="es-GT" w:eastAsia="ja-JP"/>
        </w:rPr>
        <w:t>VISAN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/MAGA, Ley de Idiomas Nacionales Acuerdo Gub. 320-2011 </w:t>
      </w:r>
    </w:p>
    <w:p w14:paraId="64AC39C9" w14:textId="77777777" w:rsidR="00243C64" w:rsidRPr="00CF33C0" w:rsidRDefault="00F1690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2020</w:t>
      </w:r>
    </w:p>
    <w:p w14:paraId="3E31B5CD" w14:textId="77777777" w:rsidR="00243C64" w:rsidRDefault="00243C64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141854E3" w14:textId="77777777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047D5306" w14:textId="77777777" w:rsidR="00113B7B" w:rsidRPr="003505C7" w:rsidRDefault="00113B7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56E6B664" w14:textId="77777777" w:rsidR="00F34A53" w:rsidRPr="003505C7" w:rsidRDefault="00F34A53" w:rsidP="00F34A53">
      <w:pPr>
        <w:jc w:val="center"/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</w:pPr>
      <w:r w:rsidRPr="003505C7">
        <w:rPr>
          <w:rFonts w:ascii="Cambria" w:eastAsia="MS Mincho" w:hAnsi="Cambria" w:cs="Calibri"/>
          <w:b/>
          <w:sz w:val="22"/>
          <w:szCs w:val="22"/>
          <w:lang w:val="es-GT" w:eastAsia="ja-JP"/>
        </w:rPr>
        <w:t xml:space="preserve">GRAFICA No. 4 </w:t>
      </w:r>
      <w:r w:rsidR="009B1876" w:rsidRPr="003505C7">
        <w:rPr>
          <w:rFonts w:ascii="Cambria" w:eastAsia="MS Mincho" w:hAnsi="Cambria" w:cs="Calibri"/>
          <w:b/>
          <w:sz w:val="22"/>
          <w:szCs w:val="22"/>
          <w:lang w:val="es-GT" w:eastAsia="ja-JP"/>
        </w:rPr>
        <w:t>Niños con Desnutrición Aguda (</w:t>
      </w:r>
      <w:r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NDA</w:t>
      </w:r>
      <w:r w:rsidR="009B1876" w:rsidRPr="003505C7">
        <w:rPr>
          <w:rFonts w:ascii="Cambria" w:eastAsia="Times New Roman" w:hAnsi="Cambria" w:cs="Calibri"/>
          <w:b/>
          <w:color w:val="000000"/>
          <w:sz w:val="22"/>
          <w:szCs w:val="22"/>
          <w:lang w:val="es-GT" w:eastAsia="es-GT"/>
        </w:rPr>
        <w:t>)</w:t>
      </w:r>
    </w:p>
    <w:p w14:paraId="6BEFF06B" w14:textId="77777777" w:rsidR="009B42A6" w:rsidRPr="009B42A6" w:rsidRDefault="009B42A6" w:rsidP="00F34A53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6EE72DC2" w14:textId="77777777" w:rsidR="00F34A53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0681E60F" wp14:editId="0EFC12D3">
            <wp:extent cx="3692525" cy="2590800"/>
            <wp:effectExtent l="0" t="0" r="3175" b="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5D3531A" w14:textId="77777777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No. 3 Fuente</w:t>
      </w:r>
      <w:r>
        <w:rPr>
          <w:rFonts w:eastAsia="MS Mincho" w:cstheme="minorHAnsi"/>
          <w:sz w:val="16"/>
          <w:szCs w:val="16"/>
          <w:lang w:val="es-GT" w:eastAsia="ja-JP"/>
        </w:rPr>
        <w:t xml:space="preserve"> VISAN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/MAGA, Ley de Idiomas Nacionales Acuerdo Gub. 320-2011 </w:t>
      </w:r>
    </w:p>
    <w:p w14:paraId="0727EE61" w14:textId="77777777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2020</w:t>
      </w:r>
    </w:p>
    <w:p w14:paraId="21F0C23A" w14:textId="77777777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sectPr w:rsidR="004E0EBC" w:rsidSect="00841CD3">
      <w:headerReference w:type="default" r:id="rId12"/>
      <w:footerReference w:type="default" r:id="rId13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AD6BF" w14:textId="77777777" w:rsidR="00BD62AA" w:rsidRDefault="00BD62AA" w:rsidP="00184C47">
      <w:r>
        <w:separator/>
      </w:r>
    </w:p>
  </w:endnote>
  <w:endnote w:type="continuationSeparator" w:id="0">
    <w:p w14:paraId="253B7A95" w14:textId="77777777" w:rsidR="00BD62AA" w:rsidRDefault="00BD62AA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altName w:val="Times New Roman"/>
    <w:panose1 w:val="00000000000000000000"/>
    <w:charset w:val="4D"/>
    <w:family w:val="auto"/>
    <w:notTrueType/>
    <w:pitch w:val="variable"/>
    <w:sig w:usb0="00000001" w:usb1="00000003" w:usb2="00000000" w:usb3="00000000" w:csb0="00000197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D538D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0B0EC7" wp14:editId="5E42DDB4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40346E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28284B56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2CDEE0E2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70B0EC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" filled="f" stroked="f" strokeweight=".5pt">
              <v:textbox>
                <w:txbxContent>
                  <w:p w14:paraId="4640346E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28284B56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2CDEE0E2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2A655" w14:textId="77777777" w:rsidR="00BD62AA" w:rsidRDefault="00BD62AA" w:rsidP="00184C47">
      <w:r>
        <w:separator/>
      </w:r>
    </w:p>
  </w:footnote>
  <w:footnote w:type="continuationSeparator" w:id="0">
    <w:p w14:paraId="1916EAFF" w14:textId="77777777" w:rsidR="00BD62AA" w:rsidRDefault="00BD62AA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AD72A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56C76245" wp14:editId="3A11C6F9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D4F06"/>
    <w:multiLevelType w:val="hybridMultilevel"/>
    <w:tmpl w:val="E214948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47"/>
    <w:rsid w:val="00081DE1"/>
    <w:rsid w:val="001068A4"/>
    <w:rsid w:val="00113B7B"/>
    <w:rsid w:val="0015152C"/>
    <w:rsid w:val="00154068"/>
    <w:rsid w:val="00163125"/>
    <w:rsid w:val="00184C47"/>
    <w:rsid w:val="001901E1"/>
    <w:rsid w:val="001A1854"/>
    <w:rsid w:val="001D71A3"/>
    <w:rsid w:val="0021255F"/>
    <w:rsid w:val="00233258"/>
    <w:rsid w:val="00236DD3"/>
    <w:rsid w:val="0023793D"/>
    <w:rsid w:val="002417BC"/>
    <w:rsid w:val="00243C64"/>
    <w:rsid w:val="002E5B6F"/>
    <w:rsid w:val="00341F77"/>
    <w:rsid w:val="003505C7"/>
    <w:rsid w:val="00353987"/>
    <w:rsid w:val="003B25C8"/>
    <w:rsid w:val="003C10CF"/>
    <w:rsid w:val="003C1F12"/>
    <w:rsid w:val="003C3D02"/>
    <w:rsid w:val="003D1A38"/>
    <w:rsid w:val="003D73BC"/>
    <w:rsid w:val="003F17F6"/>
    <w:rsid w:val="00401D50"/>
    <w:rsid w:val="00454153"/>
    <w:rsid w:val="00497921"/>
    <w:rsid w:val="004C0C72"/>
    <w:rsid w:val="004C3336"/>
    <w:rsid w:val="004C5A6F"/>
    <w:rsid w:val="004C71EE"/>
    <w:rsid w:val="004E0EBC"/>
    <w:rsid w:val="004F4246"/>
    <w:rsid w:val="0051009A"/>
    <w:rsid w:val="005168EC"/>
    <w:rsid w:val="005232ED"/>
    <w:rsid w:val="005304D1"/>
    <w:rsid w:val="00535F37"/>
    <w:rsid w:val="00550C15"/>
    <w:rsid w:val="00553F29"/>
    <w:rsid w:val="00566479"/>
    <w:rsid w:val="005838AC"/>
    <w:rsid w:val="005A0AAD"/>
    <w:rsid w:val="00617727"/>
    <w:rsid w:val="0063372B"/>
    <w:rsid w:val="006701ED"/>
    <w:rsid w:val="00696A24"/>
    <w:rsid w:val="006B35A0"/>
    <w:rsid w:val="007325FC"/>
    <w:rsid w:val="00734F53"/>
    <w:rsid w:val="007957EE"/>
    <w:rsid w:val="007C3EE3"/>
    <w:rsid w:val="007C4661"/>
    <w:rsid w:val="007F4DF1"/>
    <w:rsid w:val="00813D5A"/>
    <w:rsid w:val="00841CD3"/>
    <w:rsid w:val="00882431"/>
    <w:rsid w:val="008F040C"/>
    <w:rsid w:val="00985849"/>
    <w:rsid w:val="009B1876"/>
    <w:rsid w:val="009B42A6"/>
    <w:rsid w:val="009E6C2E"/>
    <w:rsid w:val="00A3125F"/>
    <w:rsid w:val="00A75101"/>
    <w:rsid w:val="00AA03D5"/>
    <w:rsid w:val="00AA5B3A"/>
    <w:rsid w:val="00AB5C31"/>
    <w:rsid w:val="00B03231"/>
    <w:rsid w:val="00B04BA0"/>
    <w:rsid w:val="00B10DFC"/>
    <w:rsid w:val="00B1391A"/>
    <w:rsid w:val="00B25C5F"/>
    <w:rsid w:val="00B3694B"/>
    <w:rsid w:val="00B74DA9"/>
    <w:rsid w:val="00BB497E"/>
    <w:rsid w:val="00BD2CD7"/>
    <w:rsid w:val="00BD62AA"/>
    <w:rsid w:val="00C64450"/>
    <w:rsid w:val="00CD3A98"/>
    <w:rsid w:val="00CD7726"/>
    <w:rsid w:val="00CF33C0"/>
    <w:rsid w:val="00CF5EC4"/>
    <w:rsid w:val="00D00A76"/>
    <w:rsid w:val="00D03645"/>
    <w:rsid w:val="00D1404B"/>
    <w:rsid w:val="00D43122"/>
    <w:rsid w:val="00DA3A71"/>
    <w:rsid w:val="00DD36C3"/>
    <w:rsid w:val="00DD7827"/>
    <w:rsid w:val="00E05A6D"/>
    <w:rsid w:val="00E53F2B"/>
    <w:rsid w:val="00E8322B"/>
    <w:rsid w:val="00E840BF"/>
    <w:rsid w:val="00E971B1"/>
    <w:rsid w:val="00EA3FC8"/>
    <w:rsid w:val="00EC2456"/>
    <w:rsid w:val="00EE7814"/>
    <w:rsid w:val="00EF5412"/>
    <w:rsid w:val="00F03394"/>
    <w:rsid w:val="00F04266"/>
    <w:rsid w:val="00F16904"/>
    <w:rsid w:val="00F34A53"/>
    <w:rsid w:val="00F34CE4"/>
    <w:rsid w:val="00F36DCD"/>
    <w:rsid w:val="00F55FCD"/>
    <w:rsid w:val="00F677F4"/>
    <w:rsid w:val="00F81578"/>
    <w:rsid w:val="00FB361A"/>
    <w:rsid w:val="00FB669E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C3B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FB6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FB6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ON%20DE%20DATOS%20ND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ON%20DE%20DATOS%20ND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figueroa\Desktop\UDRI%202020\DESAGREGACION%20DE%20DATOS%20ND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/>
              <a:t>BENEFICIADOS POR PUEBLO/COMUNIDAD LINGÜISTICA 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CONSOLIDADO!$C$5</c:f>
              <c:strCache>
                <c:ptCount val="1"/>
                <c:pt idx="0">
                  <c:v>HOMBRES </c:v>
                </c:pt>
              </c:strCache>
            </c:strRef>
          </c:tx>
          <c:invertIfNegative val="0"/>
          <c:cat>
            <c:strRef>
              <c:f>CONSOLIDADO!$B$6:$B$30</c:f>
              <c:strCache>
                <c:ptCount val="25"/>
                <c:pt idx="0">
                  <c:v>LADINO</c:v>
                </c:pt>
                <c:pt idx="1">
                  <c:v>KAQCHIKEL</c:v>
                </c:pt>
                <c:pt idx="2">
                  <c:v>MAM </c:v>
                </c:pt>
                <c:pt idx="3">
                  <c:v>K'ICHE'</c:v>
                </c:pt>
                <c:pt idx="4">
                  <c:v>POQOMAM</c:v>
                </c:pt>
                <c:pt idx="5">
                  <c:v>ACHI</c:v>
                </c:pt>
                <c:pt idx="6">
                  <c:v>Q'EQCHI' </c:v>
                </c:pt>
                <c:pt idx="7">
                  <c:v>POQOMCHI'</c:v>
                </c:pt>
                <c:pt idx="8">
                  <c:v>CH'ORTI'</c:v>
                </c:pt>
                <c:pt idx="9">
                  <c:v>AKATEKA</c:v>
                </c:pt>
                <c:pt idx="10">
                  <c:v>Q´ANJOB'AL</c:v>
                </c:pt>
                <c:pt idx="11">
                  <c:v>JAKALTEKA (POPTI)</c:v>
                </c:pt>
                <c:pt idx="12">
                  <c:v>TZ'UTUJIL</c:v>
                </c:pt>
                <c:pt idx="13">
                  <c:v>CHUJ </c:v>
                </c:pt>
                <c:pt idx="14">
                  <c:v>CHALCHITEKA</c:v>
                </c:pt>
                <c:pt idx="15">
                  <c:v>TEKTITEKA </c:v>
                </c:pt>
                <c:pt idx="16">
                  <c:v>IXIL</c:v>
                </c:pt>
                <c:pt idx="17">
                  <c:v>XINKA</c:v>
                </c:pt>
                <c:pt idx="18">
                  <c:v>AWAKATEKA</c:v>
                </c:pt>
                <c:pt idx="19">
                  <c:v>SIPAKAPENSE</c:v>
                </c:pt>
                <c:pt idx="20">
                  <c:v>GARÍFUNA </c:v>
                </c:pt>
                <c:pt idx="21">
                  <c:v>ITZA'</c:v>
                </c:pt>
                <c:pt idx="22">
                  <c:v>MOPÁN</c:v>
                </c:pt>
                <c:pt idx="23">
                  <c:v>SAKAPULTEKA</c:v>
                </c:pt>
                <c:pt idx="24">
                  <c:v>USPANTEKA</c:v>
                </c:pt>
              </c:strCache>
            </c:strRef>
          </c:cat>
          <c:val>
            <c:numRef>
              <c:f>CONSOLIDADO!$C$6:$C$30</c:f>
              <c:numCache>
                <c:formatCode>#,##0</c:formatCode>
                <c:ptCount val="25"/>
                <c:pt idx="0">
                  <c:v>43</c:v>
                </c:pt>
                <c:pt idx="1">
                  <c:v>28</c:v>
                </c:pt>
                <c:pt idx="2">
                  <c:v>43</c:v>
                </c:pt>
                <c:pt idx="3">
                  <c:v>13</c:v>
                </c:pt>
                <c:pt idx="4">
                  <c:v>10</c:v>
                </c:pt>
                <c:pt idx="5">
                  <c:v>9</c:v>
                </c:pt>
                <c:pt idx="6">
                  <c:v>4</c:v>
                </c:pt>
                <c:pt idx="7">
                  <c:v>6</c:v>
                </c:pt>
                <c:pt idx="8">
                  <c:v>0</c:v>
                </c:pt>
                <c:pt idx="9">
                  <c:v>2</c:v>
                </c:pt>
                <c:pt idx="10">
                  <c:v>3</c:v>
                </c:pt>
                <c:pt idx="11">
                  <c:v>0</c:v>
                </c:pt>
                <c:pt idx="12" formatCode="General">
                  <c:v>1</c:v>
                </c:pt>
                <c:pt idx="13">
                  <c:v>2</c:v>
                </c:pt>
                <c:pt idx="14">
                  <c:v>3</c:v>
                </c:pt>
                <c:pt idx="15" formatCode="General">
                  <c:v>1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 formatCode="General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11B-4232-A01B-BE28DA0D039F}"/>
            </c:ext>
          </c:extLst>
        </c:ser>
        <c:ser>
          <c:idx val="1"/>
          <c:order val="1"/>
          <c:tx>
            <c:strRef>
              <c:f>CONSOLIDADO!$D$5</c:f>
              <c:strCache>
                <c:ptCount val="1"/>
                <c:pt idx="0">
                  <c:v>MUJERES</c:v>
                </c:pt>
              </c:strCache>
            </c:strRef>
          </c:tx>
          <c:invertIfNegative val="0"/>
          <c:cat>
            <c:strRef>
              <c:f>CONSOLIDADO!$B$6:$B$30</c:f>
              <c:strCache>
                <c:ptCount val="25"/>
                <c:pt idx="0">
                  <c:v>LADINO</c:v>
                </c:pt>
                <c:pt idx="1">
                  <c:v>KAQCHIKEL</c:v>
                </c:pt>
                <c:pt idx="2">
                  <c:v>MAM </c:v>
                </c:pt>
                <c:pt idx="3">
                  <c:v>K'ICHE'</c:v>
                </c:pt>
                <c:pt idx="4">
                  <c:v>POQOMAM</c:v>
                </c:pt>
                <c:pt idx="5">
                  <c:v>ACHI</c:v>
                </c:pt>
                <c:pt idx="6">
                  <c:v>Q'EQCHI' </c:v>
                </c:pt>
                <c:pt idx="7">
                  <c:v>POQOMCHI'</c:v>
                </c:pt>
                <c:pt idx="8">
                  <c:v>CH'ORTI'</c:v>
                </c:pt>
                <c:pt idx="9">
                  <c:v>AKATEKA</c:v>
                </c:pt>
                <c:pt idx="10">
                  <c:v>Q´ANJOB'AL</c:v>
                </c:pt>
                <c:pt idx="11">
                  <c:v>JAKALTEKA (POPTI)</c:v>
                </c:pt>
                <c:pt idx="12">
                  <c:v>TZ'UTUJIL</c:v>
                </c:pt>
                <c:pt idx="13">
                  <c:v>CHUJ </c:v>
                </c:pt>
                <c:pt idx="14">
                  <c:v>CHALCHITEKA</c:v>
                </c:pt>
                <c:pt idx="15">
                  <c:v>TEKTITEKA </c:v>
                </c:pt>
                <c:pt idx="16">
                  <c:v>IXIL</c:v>
                </c:pt>
                <c:pt idx="17">
                  <c:v>XINKA</c:v>
                </c:pt>
                <c:pt idx="18">
                  <c:v>AWAKATEKA</c:v>
                </c:pt>
                <c:pt idx="19">
                  <c:v>SIPAKAPENSE</c:v>
                </c:pt>
                <c:pt idx="20">
                  <c:v>GARÍFUNA </c:v>
                </c:pt>
                <c:pt idx="21">
                  <c:v>ITZA'</c:v>
                </c:pt>
                <c:pt idx="22">
                  <c:v>MOPÁN</c:v>
                </c:pt>
                <c:pt idx="23">
                  <c:v>SAKAPULTEKA</c:v>
                </c:pt>
                <c:pt idx="24">
                  <c:v>USPANTEKA</c:v>
                </c:pt>
              </c:strCache>
            </c:strRef>
          </c:cat>
          <c:val>
            <c:numRef>
              <c:f>CONSOLIDADO!$D$6:$D$30</c:f>
              <c:numCache>
                <c:formatCode>#,##0</c:formatCode>
                <c:ptCount val="25"/>
                <c:pt idx="0">
                  <c:v>941</c:v>
                </c:pt>
                <c:pt idx="1">
                  <c:v>733</c:v>
                </c:pt>
                <c:pt idx="2">
                  <c:v>632</c:v>
                </c:pt>
                <c:pt idx="3">
                  <c:v>360</c:v>
                </c:pt>
                <c:pt idx="4">
                  <c:v>213</c:v>
                </c:pt>
                <c:pt idx="5">
                  <c:v>151</c:v>
                </c:pt>
                <c:pt idx="6">
                  <c:v>87</c:v>
                </c:pt>
                <c:pt idx="7">
                  <c:v>56</c:v>
                </c:pt>
                <c:pt idx="8">
                  <c:v>52</c:v>
                </c:pt>
                <c:pt idx="9">
                  <c:v>34</c:v>
                </c:pt>
                <c:pt idx="10">
                  <c:v>24</c:v>
                </c:pt>
                <c:pt idx="11">
                  <c:v>25</c:v>
                </c:pt>
                <c:pt idx="12" formatCode="General">
                  <c:v>23</c:v>
                </c:pt>
                <c:pt idx="13">
                  <c:v>18</c:v>
                </c:pt>
                <c:pt idx="14">
                  <c:v>13</c:v>
                </c:pt>
                <c:pt idx="15" formatCode="General">
                  <c:v>12</c:v>
                </c:pt>
                <c:pt idx="16">
                  <c:v>5</c:v>
                </c:pt>
                <c:pt idx="17">
                  <c:v>3</c:v>
                </c:pt>
                <c:pt idx="18">
                  <c:v>1</c:v>
                </c:pt>
                <c:pt idx="19" formatCode="General">
                  <c:v>1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11B-4232-A01B-BE28DA0D039F}"/>
            </c:ext>
          </c:extLst>
        </c:ser>
        <c:ser>
          <c:idx val="2"/>
          <c:order val="2"/>
          <c:tx>
            <c:strRef>
              <c:f>CONSOLIDADO!$E$5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cat>
            <c:strRef>
              <c:f>CONSOLIDADO!$B$6:$B$30</c:f>
              <c:strCache>
                <c:ptCount val="25"/>
                <c:pt idx="0">
                  <c:v>LADINO</c:v>
                </c:pt>
                <c:pt idx="1">
                  <c:v>KAQCHIKEL</c:v>
                </c:pt>
                <c:pt idx="2">
                  <c:v>MAM </c:v>
                </c:pt>
                <c:pt idx="3">
                  <c:v>K'ICHE'</c:v>
                </c:pt>
                <c:pt idx="4">
                  <c:v>POQOMAM</c:v>
                </c:pt>
                <c:pt idx="5">
                  <c:v>ACHI</c:v>
                </c:pt>
                <c:pt idx="6">
                  <c:v>Q'EQCHI' </c:v>
                </c:pt>
                <c:pt idx="7">
                  <c:v>POQOMCHI'</c:v>
                </c:pt>
                <c:pt idx="8">
                  <c:v>CH'ORTI'</c:v>
                </c:pt>
                <c:pt idx="9">
                  <c:v>AKATEKA</c:v>
                </c:pt>
                <c:pt idx="10">
                  <c:v>Q´ANJOB'AL</c:v>
                </c:pt>
                <c:pt idx="11">
                  <c:v>JAKALTEKA (POPTI)</c:v>
                </c:pt>
                <c:pt idx="12">
                  <c:v>TZ'UTUJIL</c:v>
                </c:pt>
                <c:pt idx="13">
                  <c:v>CHUJ </c:v>
                </c:pt>
                <c:pt idx="14">
                  <c:v>CHALCHITEKA</c:v>
                </c:pt>
                <c:pt idx="15">
                  <c:v>TEKTITEKA </c:v>
                </c:pt>
                <c:pt idx="16">
                  <c:v>IXIL</c:v>
                </c:pt>
                <c:pt idx="17">
                  <c:v>XINKA</c:v>
                </c:pt>
                <c:pt idx="18">
                  <c:v>AWAKATEKA</c:v>
                </c:pt>
                <c:pt idx="19">
                  <c:v>SIPAKAPENSE</c:v>
                </c:pt>
                <c:pt idx="20">
                  <c:v>GARÍFUNA </c:v>
                </c:pt>
                <c:pt idx="21">
                  <c:v>ITZA'</c:v>
                </c:pt>
                <c:pt idx="22">
                  <c:v>MOPÁN</c:v>
                </c:pt>
                <c:pt idx="23">
                  <c:v>SAKAPULTEKA</c:v>
                </c:pt>
                <c:pt idx="24">
                  <c:v>USPANTEKA</c:v>
                </c:pt>
              </c:strCache>
            </c:strRef>
          </c:cat>
          <c:val>
            <c:numRef>
              <c:f>CONSOLIDADO!$E$6:$E$30</c:f>
              <c:numCache>
                <c:formatCode>#,##0</c:formatCode>
                <c:ptCount val="25"/>
                <c:pt idx="0">
                  <c:v>984</c:v>
                </c:pt>
                <c:pt idx="1">
                  <c:v>761</c:v>
                </c:pt>
                <c:pt idx="2">
                  <c:v>675</c:v>
                </c:pt>
                <c:pt idx="3">
                  <c:v>373</c:v>
                </c:pt>
                <c:pt idx="4">
                  <c:v>223</c:v>
                </c:pt>
                <c:pt idx="5">
                  <c:v>160</c:v>
                </c:pt>
                <c:pt idx="6">
                  <c:v>91</c:v>
                </c:pt>
                <c:pt idx="7">
                  <c:v>62</c:v>
                </c:pt>
                <c:pt idx="8">
                  <c:v>52</c:v>
                </c:pt>
                <c:pt idx="9">
                  <c:v>36</c:v>
                </c:pt>
                <c:pt idx="10">
                  <c:v>27</c:v>
                </c:pt>
                <c:pt idx="11">
                  <c:v>25</c:v>
                </c:pt>
                <c:pt idx="12" formatCode="General">
                  <c:v>24</c:v>
                </c:pt>
                <c:pt idx="13">
                  <c:v>20</c:v>
                </c:pt>
                <c:pt idx="14">
                  <c:v>16</c:v>
                </c:pt>
                <c:pt idx="15" formatCode="General">
                  <c:v>13</c:v>
                </c:pt>
                <c:pt idx="16">
                  <c:v>5</c:v>
                </c:pt>
                <c:pt idx="17">
                  <c:v>3</c:v>
                </c:pt>
                <c:pt idx="18">
                  <c:v>1</c:v>
                </c:pt>
                <c:pt idx="19">
                  <c:v>1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11B-4232-A01B-BE28DA0D03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088448"/>
        <c:axId val="93389376"/>
      </c:barChart>
      <c:catAx>
        <c:axId val="9808844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93389376"/>
        <c:crosses val="autoZero"/>
        <c:auto val="1"/>
        <c:lblAlgn val="ctr"/>
        <c:lblOffset val="100"/>
        <c:noMultiLvlLbl val="0"/>
      </c:catAx>
      <c:valAx>
        <c:axId val="93389376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crossAx val="980884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800"/>
      </a:pPr>
      <a:endParaRPr lang="es-G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/>
              <a:t>LAS CINCO</a:t>
            </a:r>
            <a:r>
              <a:rPr lang="es-GT" baseline="0"/>
              <a:t> COMUNIDADES LINGUISTICAS MAS BENEFICIADAS</a:t>
            </a:r>
            <a:endParaRPr lang="es-GT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CONSOLIDADO!$Q$5</c:f>
              <c:strCache>
                <c:ptCount val="1"/>
                <c:pt idx="0">
                  <c:v>CANTIDAD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CONSOLIDADO!$P$6:$P$10</c:f>
              <c:strCache>
                <c:ptCount val="5"/>
                <c:pt idx="0">
                  <c:v>LADINO</c:v>
                </c:pt>
                <c:pt idx="1">
                  <c:v>KAQCHIKEL</c:v>
                </c:pt>
                <c:pt idx="2">
                  <c:v>MAM </c:v>
                </c:pt>
                <c:pt idx="3">
                  <c:v>K'ICHE'</c:v>
                </c:pt>
                <c:pt idx="4">
                  <c:v>POQOMAM</c:v>
                </c:pt>
              </c:strCache>
            </c:strRef>
          </c:cat>
          <c:val>
            <c:numRef>
              <c:f>CONSOLIDADO!$Q$6:$Q$10</c:f>
              <c:numCache>
                <c:formatCode>#,##0</c:formatCode>
                <c:ptCount val="5"/>
                <c:pt idx="0">
                  <c:v>984</c:v>
                </c:pt>
                <c:pt idx="1">
                  <c:v>761</c:v>
                </c:pt>
                <c:pt idx="2">
                  <c:v>675</c:v>
                </c:pt>
                <c:pt idx="3">
                  <c:v>373</c:v>
                </c:pt>
                <c:pt idx="4">
                  <c:v>223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35C-4EC8-AF22-B8D41F63E7F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G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GT"/>
              <a:t>COMUNIDADES</a:t>
            </a:r>
            <a:r>
              <a:rPr lang="es-GT" baseline="0"/>
              <a:t> LINGUISTICAS BENEFICIADAS POR PORCENTAJE</a:t>
            </a:r>
            <a:endParaRPr lang="es-GT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CONSOLIDADO!$S$5:$T$5</c:f>
              <c:strCache>
                <c:ptCount val="2"/>
                <c:pt idx="0">
                  <c:v>HOMBRES</c:v>
                </c:pt>
                <c:pt idx="1">
                  <c:v>MUJERES</c:v>
                </c:pt>
              </c:strCache>
            </c:strRef>
          </c:cat>
          <c:val>
            <c:numRef>
              <c:f>CONSOLIDADO!$S$6:$T$6</c:f>
              <c:numCache>
                <c:formatCode>#,##0</c:formatCode>
                <c:ptCount val="2"/>
                <c:pt idx="0">
                  <c:v>168</c:v>
                </c:pt>
                <c:pt idx="1">
                  <c:v>3384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24F-4814-A235-B874BF851D3F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0EA0B-6596-4412-90C7-5386DB77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Sandra Patricia Montavan</cp:lastModifiedBy>
  <cp:revision>2</cp:revision>
  <cp:lastPrinted>2021-02-16T12:33:00Z</cp:lastPrinted>
  <dcterms:created xsi:type="dcterms:W3CDTF">2021-05-05T17:46:00Z</dcterms:created>
  <dcterms:modified xsi:type="dcterms:W3CDTF">2021-05-05T17:46:00Z</dcterms:modified>
</cp:coreProperties>
</file>